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1257"/>
        <w:tblW w:w="14737" w:type="dxa"/>
        <w:tblLook w:val="04A0" w:firstRow="1" w:lastRow="0" w:firstColumn="1" w:lastColumn="0" w:noHBand="0" w:noVBand="1"/>
      </w:tblPr>
      <w:tblGrid>
        <w:gridCol w:w="1413"/>
        <w:gridCol w:w="5386"/>
        <w:gridCol w:w="2552"/>
        <w:gridCol w:w="2551"/>
        <w:gridCol w:w="2835"/>
      </w:tblGrid>
      <w:tr w:rsidR="002C575E" w:rsidTr="00D759ED">
        <w:trPr>
          <w:trHeight w:val="730"/>
        </w:trPr>
        <w:tc>
          <w:tcPr>
            <w:tcW w:w="1413" w:type="dxa"/>
          </w:tcPr>
          <w:p w:rsidR="002C575E" w:rsidRDefault="002C575E" w:rsidP="00D759ED"/>
          <w:p w:rsidR="002C575E" w:rsidRDefault="002C575E" w:rsidP="00D759ED"/>
        </w:tc>
        <w:tc>
          <w:tcPr>
            <w:tcW w:w="5386" w:type="dxa"/>
            <w:vAlign w:val="center"/>
          </w:tcPr>
          <w:p w:rsidR="002C575E" w:rsidRDefault="002C575E" w:rsidP="00D759ED">
            <w:pPr>
              <w:jc w:val="center"/>
            </w:pPr>
            <w:r>
              <w:rPr>
                <w:rFonts w:hint="eastAsia"/>
              </w:rPr>
              <w:t>農業用施設改修事業</w:t>
            </w:r>
          </w:p>
        </w:tc>
        <w:tc>
          <w:tcPr>
            <w:tcW w:w="7938" w:type="dxa"/>
            <w:gridSpan w:val="3"/>
            <w:vAlign w:val="center"/>
          </w:tcPr>
          <w:p w:rsidR="002C575E" w:rsidRDefault="002C575E" w:rsidP="00D759ED">
            <w:pPr>
              <w:jc w:val="center"/>
            </w:pPr>
            <w:r>
              <w:rPr>
                <w:rFonts w:hint="eastAsia"/>
              </w:rPr>
              <w:t>農業後継者支援事業</w:t>
            </w:r>
          </w:p>
        </w:tc>
      </w:tr>
      <w:tr w:rsidR="008C3C7D" w:rsidTr="00D759ED">
        <w:trPr>
          <w:trHeight w:val="335"/>
        </w:trPr>
        <w:tc>
          <w:tcPr>
            <w:tcW w:w="1413" w:type="dxa"/>
            <w:vMerge w:val="restart"/>
          </w:tcPr>
          <w:p w:rsidR="008C3C7D" w:rsidRDefault="008C3C7D" w:rsidP="00D759ED">
            <w:r>
              <w:rPr>
                <w:rFonts w:hint="eastAsia"/>
              </w:rPr>
              <w:t>対象者</w:t>
            </w:r>
          </w:p>
        </w:tc>
        <w:tc>
          <w:tcPr>
            <w:tcW w:w="5386" w:type="dxa"/>
          </w:tcPr>
          <w:p w:rsidR="008C3C7D" w:rsidRPr="00721CC9" w:rsidRDefault="008C3C7D" w:rsidP="00D759ED">
            <w:pPr>
              <w:rPr>
                <w:sz w:val="20"/>
                <w:szCs w:val="20"/>
              </w:rPr>
            </w:pPr>
            <w:r w:rsidRPr="00721CC9">
              <w:rPr>
                <w:rFonts w:hint="eastAsia"/>
                <w:sz w:val="20"/>
                <w:szCs w:val="20"/>
              </w:rPr>
              <w:t>八尾市内の土地改良区または水利組合等の団体</w:t>
            </w:r>
          </w:p>
        </w:tc>
        <w:tc>
          <w:tcPr>
            <w:tcW w:w="7938" w:type="dxa"/>
            <w:gridSpan w:val="3"/>
          </w:tcPr>
          <w:p w:rsidR="008C3C7D" w:rsidRPr="00721CC9" w:rsidRDefault="008C3C7D" w:rsidP="00D759ED">
            <w:pPr>
              <w:rPr>
                <w:sz w:val="20"/>
                <w:szCs w:val="20"/>
              </w:rPr>
            </w:pPr>
            <w:r w:rsidRPr="00721CC9">
              <w:rPr>
                <w:rFonts w:hint="eastAsia"/>
                <w:sz w:val="20"/>
                <w:szCs w:val="20"/>
              </w:rPr>
              <w:t>八尾市に住所を有する認定新規就農者または認定農業者の後継者</w:t>
            </w:r>
          </w:p>
        </w:tc>
      </w:tr>
      <w:tr w:rsidR="008C3C7D" w:rsidTr="00D759ED">
        <w:trPr>
          <w:trHeight w:val="368"/>
        </w:trPr>
        <w:tc>
          <w:tcPr>
            <w:tcW w:w="1413" w:type="dxa"/>
            <w:vMerge/>
          </w:tcPr>
          <w:p w:rsidR="008C3C7D" w:rsidRDefault="008C3C7D" w:rsidP="00D759ED"/>
        </w:tc>
        <w:tc>
          <w:tcPr>
            <w:tcW w:w="13324" w:type="dxa"/>
            <w:gridSpan w:val="4"/>
          </w:tcPr>
          <w:p w:rsidR="008C3C7D" w:rsidRPr="00721CC9" w:rsidRDefault="00721CC9" w:rsidP="00D759ED">
            <w:pPr>
              <w:rPr>
                <w:sz w:val="20"/>
                <w:szCs w:val="20"/>
              </w:rPr>
            </w:pPr>
            <w:r w:rsidRPr="00721CC9">
              <w:rPr>
                <w:rFonts w:hint="eastAsia"/>
                <w:sz w:val="20"/>
                <w:szCs w:val="20"/>
              </w:rPr>
              <w:t>八尾市暴力団排除条例（平成25年八尾市条例第20号）第2条第2号及び第3号に規定する暴力団員又は暴力団密接関係者に該当しないこと</w:t>
            </w:r>
          </w:p>
        </w:tc>
      </w:tr>
      <w:tr w:rsidR="00850756" w:rsidTr="00D759ED">
        <w:tc>
          <w:tcPr>
            <w:tcW w:w="1413" w:type="dxa"/>
          </w:tcPr>
          <w:p w:rsidR="00850756" w:rsidRDefault="00850756" w:rsidP="00D759ED">
            <w:r>
              <w:rPr>
                <w:rFonts w:hint="eastAsia"/>
              </w:rPr>
              <w:t>要件</w:t>
            </w:r>
          </w:p>
        </w:tc>
        <w:tc>
          <w:tcPr>
            <w:tcW w:w="5386" w:type="dxa"/>
          </w:tcPr>
          <w:p w:rsidR="00850756" w:rsidRPr="00721CC9" w:rsidRDefault="00BE51BC" w:rsidP="00D759ED">
            <w:pPr>
              <w:ind w:left="200" w:hangingChars="100" w:hanging="200"/>
              <w:rPr>
                <w:sz w:val="20"/>
                <w:szCs w:val="20"/>
              </w:rPr>
            </w:pPr>
            <w:r w:rsidRPr="00721CC9">
              <w:rPr>
                <w:rFonts w:hint="eastAsia"/>
                <w:sz w:val="20"/>
                <w:szCs w:val="20"/>
              </w:rPr>
              <w:t>・対象者が現在八尾市内で管理している農業用施設の計画的改修であること</w:t>
            </w:r>
          </w:p>
          <w:p w:rsidR="00BE51BC" w:rsidRPr="00721CC9" w:rsidRDefault="00BE51BC" w:rsidP="00D759ED">
            <w:pPr>
              <w:ind w:left="200" w:hangingChars="100" w:hanging="200"/>
              <w:rPr>
                <w:sz w:val="20"/>
                <w:szCs w:val="20"/>
              </w:rPr>
            </w:pPr>
            <w:r w:rsidRPr="00721CC9">
              <w:rPr>
                <w:rFonts w:hint="eastAsia"/>
                <w:sz w:val="20"/>
                <w:szCs w:val="20"/>
              </w:rPr>
              <w:t>・当該事業につき、国、府等</w:t>
            </w:r>
            <w:r w:rsidR="00721CC9">
              <w:rPr>
                <w:rFonts w:hint="eastAsia"/>
                <w:sz w:val="20"/>
                <w:szCs w:val="20"/>
              </w:rPr>
              <w:t>（</w:t>
            </w:r>
            <w:r w:rsidR="00D759ED">
              <w:rPr>
                <w:rFonts w:hint="eastAsia"/>
                <w:sz w:val="20"/>
                <w:szCs w:val="20"/>
              </w:rPr>
              <w:t>大阪中河内農業協同組合、グリーン大阪農業協同組合を除く）</w:t>
            </w:r>
            <w:r w:rsidRPr="00721CC9">
              <w:rPr>
                <w:rFonts w:hint="eastAsia"/>
                <w:sz w:val="20"/>
                <w:szCs w:val="20"/>
              </w:rPr>
              <w:t>から補助金の交付を受けている場合は、事業経費から国、府等の補助金の額を差し引いた額を補助対象事業費とする</w:t>
            </w:r>
          </w:p>
        </w:tc>
        <w:tc>
          <w:tcPr>
            <w:tcW w:w="7938" w:type="dxa"/>
            <w:gridSpan w:val="3"/>
          </w:tcPr>
          <w:p w:rsidR="00850756" w:rsidRPr="00721CC9" w:rsidRDefault="00850756" w:rsidP="00D759ED">
            <w:pPr>
              <w:ind w:left="200" w:hangingChars="100" w:hanging="200"/>
              <w:rPr>
                <w:sz w:val="20"/>
                <w:szCs w:val="20"/>
              </w:rPr>
            </w:pPr>
            <w:r w:rsidRPr="00721CC9">
              <w:rPr>
                <w:rFonts w:hint="eastAsia"/>
                <w:sz w:val="20"/>
                <w:szCs w:val="20"/>
              </w:rPr>
              <w:t>・対象者が事業実施年度の４月１日以前に就農しており、就農時の年齢が５０歳未満であること</w:t>
            </w:r>
          </w:p>
          <w:p w:rsidR="00850756" w:rsidRPr="00721CC9" w:rsidRDefault="00850756" w:rsidP="00D759ED">
            <w:pPr>
              <w:ind w:left="200" w:hangingChars="100" w:hanging="200"/>
              <w:rPr>
                <w:sz w:val="20"/>
                <w:szCs w:val="20"/>
              </w:rPr>
            </w:pPr>
            <w:r w:rsidRPr="00721CC9">
              <w:rPr>
                <w:rFonts w:hint="eastAsia"/>
                <w:sz w:val="20"/>
                <w:szCs w:val="20"/>
              </w:rPr>
              <w:t>・就農から５年以内であること</w:t>
            </w:r>
          </w:p>
          <w:p w:rsidR="00850756" w:rsidRPr="00721CC9" w:rsidRDefault="00850756" w:rsidP="00D759ED">
            <w:pPr>
              <w:ind w:left="200" w:hangingChars="100" w:hanging="200"/>
              <w:rPr>
                <w:sz w:val="20"/>
                <w:szCs w:val="20"/>
              </w:rPr>
            </w:pPr>
            <w:r w:rsidRPr="00721CC9">
              <w:rPr>
                <w:rFonts w:hint="eastAsia"/>
                <w:sz w:val="20"/>
                <w:szCs w:val="20"/>
              </w:rPr>
              <w:t>・農業次世代人材投資資金受給者でないこと</w:t>
            </w:r>
          </w:p>
          <w:p w:rsidR="00721CC9" w:rsidRPr="00721CC9" w:rsidRDefault="00721CC9" w:rsidP="00D759ED">
            <w:pPr>
              <w:ind w:left="200" w:hangingChars="100" w:hanging="200"/>
              <w:rPr>
                <w:sz w:val="20"/>
                <w:szCs w:val="20"/>
              </w:rPr>
            </w:pPr>
            <w:r w:rsidRPr="00721CC9">
              <w:rPr>
                <w:rFonts w:hint="eastAsia"/>
                <w:sz w:val="20"/>
                <w:szCs w:val="20"/>
              </w:rPr>
              <w:t xml:space="preserve">　その他</w:t>
            </w:r>
            <w:r w:rsidR="005614C0">
              <w:rPr>
                <w:rFonts w:hint="eastAsia"/>
                <w:sz w:val="20"/>
                <w:szCs w:val="20"/>
              </w:rPr>
              <w:t>、</w:t>
            </w:r>
            <w:r w:rsidRPr="00721CC9">
              <w:rPr>
                <w:rFonts w:hint="eastAsia"/>
                <w:sz w:val="20"/>
                <w:szCs w:val="20"/>
              </w:rPr>
              <w:t>当該事業につき、国、府等</w:t>
            </w:r>
            <w:r w:rsidR="00D759ED">
              <w:rPr>
                <w:rFonts w:hint="eastAsia"/>
                <w:sz w:val="20"/>
                <w:szCs w:val="20"/>
              </w:rPr>
              <w:t>（大阪中河内農業協同組合、グリーン大阪農業協同組合を除く）</w:t>
            </w:r>
            <w:r w:rsidRPr="00721CC9">
              <w:rPr>
                <w:rFonts w:hint="eastAsia"/>
                <w:sz w:val="20"/>
                <w:szCs w:val="20"/>
              </w:rPr>
              <w:t>から補助金の交付を受けている場合は、事業経費から国、府等の補助金の額を差し引いた額を補助対象事業費とする</w:t>
            </w:r>
          </w:p>
          <w:p w:rsidR="00CA24CC" w:rsidRPr="00721CC9" w:rsidRDefault="00CA24CC" w:rsidP="00D759ED">
            <w:pPr>
              <w:ind w:left="200" w:hangingChars="100" w:hanging="200"/>
              <w:rPr>
                <w:sz w:val="20"/>
                <w:szCs w:val="20"/>
              </w:rPr>
            </w:pPr>
            <w:r w:rsidRPr="00721CC9">
              <w:rPr>
                <w:rFonts w:hint="eastAsia"/>
                <w:sz w:val="20"/>
                <w:szCs w:val="20"/>
              </w:rPr>
              <w:t>・自身で青色申告を実施、または親等が青色申告しその専従者となっていること</w:t>
            </w:r>
          </w:p>
          <w:p w:rsidR="00850756" w:rsidRPr="00721CC9" w:rsidRDefault="00CA24CC" w:rsidP="00D759ED">
            <w:pPr>
              <w:rPr>
                <w:sz w:val="20"/>
                <w:szCs w:val="20"/>
              </w:rPr>
            </w:pPr>
            <w:r w:rsidRPr="00721CC9">
              <w:rPr>
                <w:rFonts w:hint="eastAsia"/>
                <w:sz w:val="20"/>
                <w:szCs w:val="20"/>
              </w:rPr>
              <w:t>・対象者及び農業経営者が市税の滞納がないこと</w:t>
            </w:r>
          </w:p>
          <w:p w:rsidR="00CA24CC" w:rsidRPr="00721CC9" w:rsidRDefault="00CA24CC" w:rsidP="00D759ED">
            <w:pPr>
              <w:rPr>
                <w:sz w:val="20"/>
                <w:szCs w:val="20"/>
              </w:rPr>
            </w:pPr>
            <w:r w:rsidRPr="00721CC9">
              <w:rPr>
                <w:rFonts w:hint="eastAsia"/>
                <w:sz w:val="20"/>
                <w:szCs w:val="20"/>
              </w:rPr>
              <w:t>・年間農業従事日数が１５０日以上であること</w:t>
            </w:r>
          </w:p>
          <w:p w:rsidR="00CA24CC" w:rsidRPr="00721CC9" w:rsidRDefault="00CA24CC" w:rsidP="00D759ED">
            <w:pPr>
              <w:rPr>
                <w:sz w:val="20"/>
                <w:szCs w:val="20"/>
              </w:rPr>
            </w:pPr>
            <w:r w:rsidRPr="00721CC9">
              <w:rPr>
                <w:rFonts w:hint="eastAsia"/>
                <w:sz w:val="20"/>
                <w:szCs w:val="20"/>
              </w:rPr>
              <w:t>・事業実施年度の末日から起算して５年以上、農業に従事すること</w:t>
            </w:r>
          </w:p>
          <w:p w:rsidR="00CA24CC" w:rsidRPr="00721CC9" w:rsidRDefault="00CA24CC" w:rsidP="00D759ED">
            <w:pPr>
              <w:rPr>
                <w:sz w:val="20"/>
                <w:szCs w:val="20"/>
              </w:rPr>
            </w:pPr>
            <w:r w:rsidRPr="00721CC9">
              <w:rPr>
                <w:rFonts w:hint="eastAsia"/>
                <w:sz w:val="20"/>
                <w:szCs w:val="20"/>
              </w:rPr>
              <w:t xml:space="preserve">　（５年以内に離農の場合は、補助金を返還すること）</w:t>
            </w:r>
          </w:p>
        </w:tc>
      </w:tr>
      <w:tr w:rsidR="00A41A04" w:rsidTr="00D759ED">
        <w:tc>
          <w:tcPr>
            <w:tcW w:w="1413" w:type="dxa"/>
          </w:tcPr>
          <w:p w:rsidR="00A41A04" w:rsidRDefault="002A506D" w:rsidP="00D759ED">
            <w:r>
              <w:rPr>
                <w:rFonts w:hint="eastAsia"/>
              </w:rPr>
              <w:t>実施方法</w:t>
            </w:r>
          </w:p>
        </w:tc>
        <w:tc>
          <w:tcPr>
            <w:tcW w:w="5386" w:type="dxa"/>
          </w:tcPr>
          <w:p w:rsidR="00A41A04" w:rsidRPr="00721CC9" w:rsidRDefault="002A506D" w:rsidP="00D759ED">
            <w:pPr>
              <w:ind w:left="200" w:hangingChars="100" w:hanging="200"/>
              <w:rPr>
                <w:sz w:val="20"/>
                <w:szCs w:val="20"/>
              </w:rPr>
            </w:pPr>
            <w:r w:rsidRPr="00721CC9">
              <w:rPr>
                <w:rFonts w:hint="eastAsia"/>
                <w:sz w:val="20"/>
                <w:szCs w:val="20"/>
              </w:rPr>
              <w:t>単年度では、１団体につき１回までの申請とする</w:t>
            </w:r>
          </w:p>
        </w:tc>
        <w:tc>
          <w:tcPr>
            <w:tcW w:w="7938" w:type="dxa"/>
            <w:gridSpan w:val="3"/>
          </w:tcPr>
          <w:p w:rsidR="00A41A04" w:rsidRPr="00721CC9" w:rsidRDefault="002A506D" w:rsidP="00D759ED">
            <w:pPr>
              <w:ind w:left="200" w:hangingChars="100" w:hanging="200"/>
              <w:rPr>
                <w:sz w:val="20"/>
                <w:szCs w:val="20"/>
              </w:rPr>
            </w:pPr>
            <w:r w:rsidRPr="00721CC9">
              <w:rPr>
                <w:rFonts w:hint="eastAsia"/>
                <w:sz w:val="20"/>
                <w:szCs w:val="20"/>
              </w:rPr>
              <w:t>・単年度では、１人につき1回までの申請とする</w:t>
            </w:r>
          </w:p>
          <w:p w:rsidR="002A506D" w:rsidRPr="00721CC9" w:rsidRDefault="002A506D" w:rsidP="00D759ED">
            <w:pPr>
              <w:ind w:left="200" w:hangingChars="100" w:hanging="200"/>
              <w:rPr>
                <w:sz w:val="20"/>
                <w:szCs w:val="20"/>
              </w:rPr>
            </w:pPr>
            <w:r w:rsidRPr="00721CC9">
              <w:rPr>
                <w:rFonts w:hint="eastAsia"/>
                <w:sz w:val="20"/>
                <w:szCs w:val="20"/>
              </w:rPr>
              <w:t>・複数年度では、１人につき２回までの申請を限度とする</w:t>
            </w:r>
          </w:p>
          <w:p w:rsidR="002A506D" w:rsidRPr="00721CC9" w:rsidRDefault="002A506D" w:rsidP="00D759ED">
            <w:pPr>
              <w:ind w:left="200" w:hangingChars="100" w:hanging="200"/>
              <w:rPr>
                <w:sz w:val="20"/>
                <w:szCs w:val="20"/>
              </w:rPr>
            </w:pPr>
            <w:r w:rsidRPr="00721CC9">
              <w:rPr>
                <w:rFonts w:hint="eastAsia"/>
                <w:sz w:val="20"/>
                <w:szCs w:val="20"/>
              </w:rPr>
              <w:t>・２件以上の見積もりを比較し、安価な事業者より購入すること</w:t>
            </w:r>
          </w:p>
        </w:tc>
      </w:tr>
      <w:tr w:rsidR="00A41A04" w:rsidTr="00D759ED">
        <w:tc>
          <w:tcPr>
            <w:tcW w:w="1413" w:type="dxa"/>
            <w:vMerge w:val="restart"/>
          </w:tcPr>
          <w:p w:rsidR="00A41A04" w:rsidRDefault="00A41A04" w:rsidP="00D759ED">
            <w:r>
              <w:rPr>
                <w:rFonts w:hint="eastAsia"/>
              </w:rPr>
              <w:t>対象事業</w:t>
            </w:r>
          </w:p>
        </w:tc>
        <w:tc>
          <w:tcPr>
            <w:tcW w:w="5386" w:type="dxa"/>
            <w:vMerge w:val="restart"/>
          </w:tcPr>
          <w:p w:rsidR="00A41A04" w:rsidRPr="00721CC9" w:rsidRDefault="00A41A04" w:rsidP="00D759ED">
            <w:pPr>
              <w:rPr>
                <w:sz w:val="20"/>
                <w:szCs w:val="20"/>
              </w:rPr>
            </w:pPr>
            <w:r w:rsidRPr="00721CC9">
              <w:rPr>
                <w:rFonts w:hint="eastAsia"/>
                <w:sz w:val="20"/>
                <w:szCs w:val="20"/>
              </w:rPr>
              <w:t>農業用施設の改修</w:t>
            </w:r>
          </w:p>
          <w:p w:rsidR="00A41A04" w:rsidRPr="00721CC9" w:rsidRDefault="00A41A04" w:rsidP="00D759ED">
            <w:pPr>
              <w:rPr>
                <w:sz w:val="20"/>
                <w:szCs w:val="20"/>
              </w:rPr>
            </w:pPr>
            <w:r w:rsidRPr="00721CC9">
              <w:rPr>
                <w:rFonts w:hint="eastAsia"/>
                <w:sz w:val="20"/>
                <w:szCs w:val="20"/>
              </w:rPr>
              <w:t>（井堰、樋門、ポンプ、ゲート、さく</w:t>
            </w:r>
            <w:bookmarkStart w:id="0" w:name="_GoBack"/>
            <w:bookmarkEnd w:id="0"/>
            <w:r w:rsidRPr="00721CC9">
              <w:rPr>
                <w:rFonts w:hint="eastAsia"/>
                <w:sz w:val="20"/>
                <w:szCs w:val="20"/>
              </w:rPr>
              <w:t>井、用水</w:t>
            </w:r>
            <w:r w:rsidR="00F84723">
              <w:rPr>
                <w:rFonts w:hint="eastAsia"/>
                <w:sz w:val="20"/>
                <w:szCs w:val="20"/>
              </w:rPr>
              <w:t>管</w:t>
            </w:r>
            <w:r w:rsidRPr="00721CC9">
              <w:rPr>
                <w:rFonts w:hint="eastAsia"/>
                <w:sz w:val="20"/>
                <w:szCs w:val="20"/>
              </w:rPr>
              <w:t>など）</w:t>
            </w:r>
          </w:p>
        </w:tc>
        <w:tc>
          <w:tcPr>
            <w:tcW w:w="2552" w:type="dxa"/>
          </w:tcPr>
          <w:p w:rsidR="00A41A04" w:rsidRPr="00721CC9" w:rsidRDefault="00A41A04" w:rsidP="00D759ED">
            <w:pPr>
              <w:rPr>
                <w:sz w:val="20"/>
                <w:szCs w:val="20"/>
              </w:rPr>
            </w:pPr>
            <w:r w:rsidRPr="00721CC9">
              <w:rPr>
                <w:rFonts w:hint="eastAsia"/>
                <w:sz w:val="20"/>
                <w:szCs w:val="20"/>
              </w:rPr>
              <w:t>農業用施設の整備</w:t>
            </w:r>
          </w:p>
          <w:p w:rsidR="00A41A04" w:rsidRPr="00721CC9" w:rsidRDefault="00A41A04" w:rsidP="00D759ED">
            <w:pPr>
              <w:rPr>
                <w:sz w:val="20"/>
                <w:szCs w:val="20"/>
              </w:rPr>
            </w:pPr>
            <w:r w:rsidRPr="00721CC9">
              <w:rPr>
                <w:rFonts w:hint="eastAsia"/>
                <w:sz w:val="20"/>
                <w:szCs w:val="20"/>
              </w:rPr>
              <w:t>（</w:t>
            </w:r>
            <w:r w:rsidR="00967384">
              <w:rPr>
                <w:rFonts w:hint="eastAsia"/>
                <w:sz w:val="20"/>
                <w:szCs w:val="20"/>
              </w:rPr>
              <w:t>ビニール</w:t>
            </w:r>
            <w:r w:rsidRPr="00721CC9">
              <w:rPr>
                <w:rFonts w:hint="eastAsia"/>
                <w:sz w:val="20"/>
                <w:szCs w:val="20"/>
              </w:rPr>
              <w:t>ハウス、直売施設、農小屋など）</w:t>
            </w:r>
          </w:p>
        </w:tc>
        <w:tc>
          <w:tcPr>
            <w:tcW w:w="2551" w:type="dxa"/>
          </w:tcPr>
          <w:p w:rsidR="00A41A04" w:rsidRPr="00721CC9" w:rsidRDefault="00A41A04" w:rsidP="00D759ED">
            <w:pPr>
              <w:rPr>
                <w:sz w:val="20"/>
                <w:szCs w:val="20"/>
              </w:rPr>
            </w:pPr>
            <w:r w:rsidRPr="00721CC9">
              <w:rPr>
                <w:rFonts w:hint="eastAsia"/>
                <w:sz w:val="20"/>
                <w:szCs w:val="20"/>
              </w:rPr>
              <w:t>農業用機械の導入</w:t>
            </w:r>
          </w:p>
          <w:p w:rsidR="00A41A04" w:rsidRPr="00721CC9" w:rsidRDefault="00A41A04" w:rsidP="00D759ED">
            <w:pPr>
              <w:rPr>
                <w:sz w:val="20"/>
                <w:szCs w:val="20"/>
              </w:rPr>
            </w:pPr>
            <w:r w:rsidRPr="00721CC9">
              <w:rPr>
                <w:rFonts w:hint="eastAsia"/>
                <w:sz w:val="20"/>
                <w:szCs w:val="20"/>
              </w:rPr>
              <w:t>（耕運機、運搬機、乾燥機など）</w:t>
            </w:r>
          </w:p>
        </w:tc>
        <w:tc>
          <w:tcPr>
            <w:tcW w:w="2835" w:type="dxa"/>
          </w:tcPr>
          <w:p w:rsidR="00A41A04" w:rsidRPr="00721CC9" w:rsidRDefault="00A41A04" w:rsidP="00D759ED">
            <w:pPr>
              <w:rPr>
                <w:sz w:val="20"/>
                <w:szCs w:val="20"/>
              </w:rPr>
            </w:pPr>
            <w:r w:rsidRPr="00721CC9">
              <w:rPr>
                <w:rFonts w:hint="eastAsia"/>
                <w:sz w:val="20"/>
                <w:szCs w:val="20"/>
              </w:rPr>
              <w:t>農業設備の導入</w:t>
            </w:r>
          </w:p>
          <w:p w:rsidR="00A41A04" w:rsidRPr="00721CC9" w:rsidRDefault="00A41A04" w:rsidP="00D759ED">
            <w:pPr>
              <w:rPr>
                <w:sz w:val="20"/>
                <w:szCs w:val="20"/>
              </w:rPr>
            </w:pPr>
            <w:r w:rsidRPr="00721CC9">
              <w:rPr>
                <w:rFonts w:hint="eastAsia"/>
                <w:sz w:val="20"/>
                <w:szCs w:val="20"/>
              </w:rPr>
              <w:t>（潅水設備、換気装置、加</w:t>
            </w:r>
            <w:r w:rsidR="00967384">
              <w:rPr>
                <w:rFonts w:hint="eastAsia"/>
                <w:sz w:val="20"/>
                <w:szCs w:val="20"/>
              </w:rPr>
              <w:t>温</w:t>
            </w:r>
            <w:r w:rsidRPr="00721CC9">
              <w:rPr>
                <w:rFonts w:hint="eastAsia"/>
                <w:sz w:val="20"/>
                <w:szCs w:val="20"/>
              </w:rPr>
              <w:t>器など）</w:t>
            </w:r>
          </w:p>
        </w:tc>
      </w:tr>
      <w:tr w:rsidR="00A41A04" w:rsidTr="00D759ED">
        <w:tc>
          <w:tcPr>
            <w:tcW w:w="1413" w:type="dxa"/>
            <w:vMerge/>
          </w:tcPr>
          <w:p w:rsidR="00A41A04" w:rsidRDefault="00A41A04" w:rsidP="00D759ED"/>
        </w:tc>
        <w:tc>
          <w:tcPr>
            <w:tcW w:w="5386" w:type="dxa"/>
            <w:vMerge/>
          </w:tcPr>
          <w:p w:rsidR="00A41A04" w:rsidRPr="00721CC9" w:rsidRDefault="00A41A04" w:rsidP="00D759ED">
            <w:pPr>
              <w:rPr>
                <w:sz w:val="20"/>
                <w:szCs w:val="20"/>
              </w:rPr>
            </w:pPr>
          </w:p>
        </w:tc>
        <w:tc>
          <w:tcPr>
            <w:tcW w:w="7938" w:type="dxa"/>
            <w:gridSpan w:val="3"/>
          </w:tcPr>
          <w:p w:rsidR="00A41A04" w:rsidRPr="00721CC9" w:rsidRDefault="00A41A04" w:rsidP="00D759ED">
            <w:pPr>
              <w:rPr>
                <w:sz w:val="20"/>
                <w:szCs w:val="20"/>
              </w:rPr>
            </w:pPr>
            <w:r w:rsidRPr="00721CC9">
              <w:rPr>
                <w:rFonts w:hint="eastAsia"/>
                <w:sz w:val="20"/>
                <w:szCs w:val="20"/>
              </w:rPr>
              <w:t>・原則として新規取得に限る</w:t>
            </w:r>
          </w:p>
          <w:p w:rsidR="00A41A04" w:rsidRPr="00721CC9" w:rsidRDefault="00A41A04" w:rsidP="00D759ED">
            <w:pPr>
              <w:rPr>
                <w:sz w:val="20"/>
                <w:szCs w:val="20"/>
              </w:rPr>
            </w:pPr>
            <w:r w:rsidRPr="00721CC9">
              <w:rPr>
                <w:rFonts w:hint="eastAsia"/>
                <w:sz w:val="20"/>
                <w:szCs w:val="20"/>
              </w:rPr>
              <w:t>・中古品の取得の場合は耐用年数残存期間が５年以上であること</w:t>
            </w:r>
          </w:p>
        </w:tc>
      </w:tr>
      <w:tr w:rsidR="00A41A04" w:rsidTr="00D759ED">
        <w:tc>
          <w:tcPr>
            <w:tcW w:w="1413" w:type="dxa"/>
          </w:tcPr>
          <w:p w:rsidR="00A41A04" w:rsidRDefault="00A41A04" w:rsidP="00D759ED">
            <w:r>
              <w:rPr>
                <w:rFonts w:hint="eastAsia"/>
              </w:rPr>
              <w:t>補助率</w:t>
            </w:r>
          </w:p>
        </w:tc>
        <w:tc>
          <w:tcPr>
            <w:tcW w:w="13324" w:type="dxa"/>
            <w:gridSpan w:val="4"/>
          </w:tcPr>
          <w:p w:rsidR="00A41A04" w:rsidRPr="00721CC9" w:rsidRDefault="00A41A04" w:rsidP="00D759ED">
            <w:pPr>
              <w:rPr>
                <w:sz w:val="20"/>
                <w:szCs w:val="20"/>
              </w:rPr>
            </w:pPr>
            <w:r w:rsidRPr="00721CC9">
              <w:rPr>
                <w:rFonts w:hint="eastAsia"/>
                <w:sz w:val="20"/>
                <w:szCs w:val="20"/>
              </w:rPr>
              <w:t>１００分の２５以内</w:t>
            </w:r>
          </w:p>
        </w:tc>
      </w:tr>
      <w:tr w:rsidR="00A41A04" w:rsidTr="00D759ED">
        <w:tc>
          <w:tcPr>
            <w:tcW w:w="1413" w:type="dxa"/>
          </w:tcPr>
          <w:p w:rsidR="00A41A04" w:rsidRDefault="00A41A04" w:rsidP="00D759ED">
            <w:r>
              <w:rPr>
                <w:rFonts w:hint="eastAsia"/>
              </w:rPr>
              <w:t>補助限度額</w:t>
            </w:r>
          </w:p>
        </w:tc>
        <w:tc>
          <w:tcPr>
            <w:tcW w:w="5386" w:type="dxa"/>
          </w:tcPr>
          <w:p w:rsidR="00A41A04" w:rsidRPr="00721CC9" w:rsidRDefault="00A41A04" w:rsidP="00D759ED">
            <w:pPr>
              <w:rPr>
                <w:sz w:val="20"/>
                <w:szCs w:val="20"/>
              </w:rPr>
            </w:pPr>
            <w:r w:rsidRPr="00721CC9">
              <w:rPr>
                <w:rFonts w:hint="eastAsia"/>
                <w:sz w:val="20"/>
                <w:szCs w:val="20"/>
              </w:rPr>
              <w:t>５０万円</w:t>
            </w:r>
          </w:p>
        </w:tc>
        <w:tc>
          <w:tcPr>
            <w:tcW w:w="7938" w:type="dxa"/>
            <w:gridSpan w:val="3"/>
          </w:tcPr>
          <w:p w:rsidR="00A41A04" w:rsidRPr="00721CC9" w:rsidRDefault="00A41A04" w:rsidP="00D759ED">
            <w:pPr>
              <w:rPr>
                <w:sz w:val="20"/>
                <w:szCs w:val="20"/>
              </w:rPr>
            </w:pPr>
            <w:r w:rsidRPr="00721CC9">
              <w:rPr>
                <w:rFonts w:hint="eastAsia"/>
                <w:sz w:val="20"/>
                <w:szCs w:val="20"/>
              </w:rPr>
              <w:t>４０万円</w:t>
            </w:r>
          </w:p>
        </w:tc>
      </w:tr>
    </w:tbl>
    <w:p w:rsidR="00920D15" w:rsidRDefault="00920D15" w:rsidP="00D759ED"/>
    <w:sectPr w:rsidR="00920D15" w:rsidSect="00D759ED">
      <w:headerReference w:type="default" r:id="rId6"/>
      <w:pgSz w:w="16838" w:h="11906" w:orient="landscape"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ED" w:rsidRDefault="00D759ED" w:rsidP="00D759ED">
      <w:r>
        <w:separator/>
      </w:r>
    </w:p>
  </w:endnote>
  <w:endnote w:type="continuationSeparator" w:id="0">
    <w:p w:rsidR="00D759ED" w:rsidRDefault="00D759ED" w:rsidP="00D7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ED" w:rsidRDefault="00D759ED" w:rsidP="00D759ED">
      <w:r>
        <w:separator/>
      </w:r>
    </w:p>
  </w:footnote>
  <w:footnote w:type="continuationSeparator" w:id="0">
    <w:p w:rsidR="00D759ED" w:rsidRDefault="00D759ED" w:rsidP="00D7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9ED" w:rsidRDefault="00D759ED">
    <w:pPr>
      <w:pStyle w:val="a4"/>
    </w:pPr>
    <w:r>
      <w:rPr>
        <w:rFonts w:hint="eastAsia"/>
      </w:rPr>
      <w:t>（別表）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DE"/>
    <w:rsid w:val="002A506D"/>
    <w:rsid w:val="002C575E"/>
    <w:rsid w:val="00480F5C"/>
    <w:rsid w:val="005614C0"/>
    <w:rsid w:val="005826C6"/>
    <w:rsid w:val="00721CC9"/>
    <w:rsid w:val="00850756"/>
    <w:rsid w:val="008C3C7D"/>
    <w:rsid w:val="00920D15"/>
    <w:rsid w:val="00967384"/>
    <w:rsid w:val="00A41A04"/>
    <w:rsid w:val="00A752DE"/>
    <w:rsid w:val="00BE51BC"/>
    <w:rsid w:val="00CA24CC"/>
    <w:rsid w:val="00D759ED"/>
    <w:rsid w:val="00F8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22043F"/>
  <w15:chartTrackingRefBased/>
  <w15:docId w15:val="{2A443928-AB40-42B6-BA54-E0C8E1F3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9ED"/>
    <w:pPr>
      <w:tabs>
        <w:tab w:val="center" w:pos="4252"/>
        <w:tab w:val="right" w:pos="8504"/>
      </w:tabs>
      <w:snapToGrid w:val="0"/>
    </w:pPr>
  </w:style>
  <w:style w:type="character" w:customStyle="1" w:styleId="a5">
    <w:name w:val="ヘッダー (文字)"/>
    <w:basedOn w:val="a0"/>
    <w:link w:val="a4"/>
    <w:uiPriority w:val="99"/>
    <w:rsid w:val="00D759ED"/>
  </w:style>
  <w:style w:type="paragraph" w:styleId="a6">
    <w:name w:val="footer"/>
    <w:basedOn w:val="a"/>
    <w:link w:val="a7"/>
    <w:uiPriority w:val="99"/>
    <w:unhideWhenUsed/>
    <w:rsid w:val="00D759ED"/>
    <w:pPr>
      <w:tabs>
        <w:tab w:val="center" w:pos="4252"/>
        <w:tab w:val="right" w:pos="8504"/>
      </w:tabs>
      <w:snapToGrid w:val="0"/>
    </w:pPr>
  </w:style>
  <w:style w:type="character" w:customStyle="1" w:styleId="a7">
    <w:name w:val="フッター (文字)"/>
    <w:basedOn w:val="a0"/>
    <w:link w:val="a6"/>
    <w:uiPriority w:val="99"/>
    <w:rsid w:val="00D7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賢二</dc:creator>
  <cp:keywords/>
  <dc:description/>
  <cp:lastModifiedBy>渡辺　賢二</cp:lastModifiedBy>
  <cp:revision>7</cp:revision>
  <cp:lastPrinted>2021-06-09T02:21:00Z</cp:lastPrinted>
  <dcterms:created xsi:type="dcterms:W3CDTF">2021-03-23T04:55:00Z</dcterms:created>
  <dcterms:modified xsi:type="dcterms:W3CDTF">2021-07-01T01:38:00Z</dcterms:modified>
</cp:coreProperties>
</file>