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9636D" w14:textId="78E94D22" w:rsidR="007D71CA" w:rsidRPr="00044022" w:rsidRDefault="00A058F8" w:rsidP="00044022">
      <w:pPr>
        <w:jc w:val="center"/>
        <w:rPr>
          <w:sz w:val="32"/>
          <w:szCs w:val="36"/>
        </w:rPr>
      </w:pPr>
      <w:r w:rsidRPr="00044022">
        <w:rPr>
          <w:rFonts w:hint="eastAsia"/>
          <w:sz w:val="32"/>
          <w:szCs w:val="36"/>
        </w:rPr>
        <w:t>送迎車両運行管理業務に係る遵守事項</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
        <w:gridCol w:w="7994"/>
      </w:tblGrid>
      <w:tr w:rsidR="00907F74" w14:paraId="76855643" w14:textId="77777777" w:rsidTr="00044022">
        <w:trPr>
          <w:trHeight w:val="720"/>
        </w:trPr>
        <w:tc>
          <w:tcPr>
            <w:tcW w:w="501" w:type="dxa"/>
            <w:vAlign w:val="center"/>
          </w:tcPr>
          <w:p w14:paraId="7FC3DBEC" w14:textId="279D92A2" w:rsidR="00907F74" w:rsidRDefault="00907F74" w:rsidP="00907F74">
            <w:pPr>
              <w:jc w:val="right"/>
              <w:rPr>
                <w:rFonts w:hint="eastAsia"/>
              </w:rPr>
            </w:pPr>
            <w:bookmarkStart w:id="0" w:name="_Hlk206421305"/>
            <w:r>
              <w:rPr>
                <w:rFonts w:hint="eastAsia"/>
              </w:rPr>
              <w:t>1.</w:t>
            </w:r>
          </w:p>
        </w:tc>
        <w:tc>
          <w:tcPr>
            <w:tcW w:w="7994" w:type="dxa"/>
            <w:vAlign w:val="center"/>
          </w:tcPr>
          <w:p w14:paraId="17D8E2E6" w14:textId="006EEABD" w:rsidR="00907F74" w:rsidRDefault="00907F74" w:rsidP="00044022">
            <w:pPr>
              <w:rPr>
                <w:rFonts w:hint="eastAsia"/>
              </w:rPr>
            </w:pPr>
            <w:r w:rsidRPr="00907F74">
              <w:rPr>
                <w:rFonts w:hint="eastAsia"/>
              </w:rPr>
              <w:t>疾病、疲労その他の理由により安全な運転をすることができないおそれがあるときは、運転業務に従事しないこと。</w:t>
            </w:r>
          </w:p>
        </w:tc>
      </w:tr>
      <w:tr w:rsidR="00907F74" w14:paraId="00DDE379" w14:textId="77777777" w:rsidTr="00044022">
        <w:trPr>
          <w:trHeight w:val="720"/>
        </w:trPr>
        <w:tc>
          <w:tcPr>
            <w:tcW w:w="501" w:type="dxa"/>
            <w:vAlign w:val="center"/>
          </w:tcPr>
          <w:p w14:paraId="744B37D5" w14:textId="2668C388" w:rsidR="00907F74" w:rsidRDefault="00907F74" w:rsidP="00907F74">
            <w:pPr>
              <w:jc w:val="right"/>
              <w:rPr>
                <w:rFonts w:hint="eastAsia"/>
              </w:rPr>
            </w:pPr>
            <w:r>
              <w:rPr>
                <w:rFonts w:hint="eastAsia"/>
              </w:rPr>
              <w:t>2.</w:t>
            </w:r>
          </w:p>
        </w:tc>
        <w:tc>
          <w:tcPr>
            <w:tcW w:w="7994" w:type="dxa"/>
            <w:vAlign w:val="center"/>
          </w:tcPr>
          <w:p w14:paraId="04A9CB03" w14:textId="0324F97D" w:rsidR="00907F74" w:rsidRDefault="00907F74" w:rsidP="00044022">
            <w:pPr>
              <w:rPr>
                <w:rFonts w:hint="eastAsia"/>
              </w:rPr>
            </w:pPr>
            <w:r w:rsidRPr="00907F74">
              <w:rPr>
                <w:rFonts w:hint="eastAsia"/>
              </w:rPr>
              <w:t>運行年月日、乗降場所、運行時間等の確認を怠らないこと。</w:t>
            </w:r>
          </w:p>
        </w:tc>
      </w:tr>
      <w:tr w:rsidR="00907F74" w14:paraId="5C064538" w14:textId="77777777" w:rsidTr="00044022">
        <w:trPr>
          <w:trHeight w:val="720"/>
        </w:trPr>
        <w:tc>
          <w:tcPr>
            <w:tcW w:w="501" w:type="dxa"/>
            <w:vAlign w:val="center"/>
          </w:tcPr>
          <w:p w14:paraId="5B6C40F8" w14:textId="5CB825B8" w:rsidR="00907F74" w:rsidRDefault="00907F74" w:rsidP="00907F74">
            <w:pPr>
              <w:jc w:val="right"/>
              <w:rPr>
                <w:rFonts w:hint="eastAsia"/>
              </w:rPr>
            </w:pPr>
            <w:r>
              <w:rPr>
                <w:rFonts w:hint="eastAsia"/>
              </w:rPr>
              <w:t>3.</w:t>
            </w:r>
          </w:p>
        </w:tc>
        <w:tc>
          <w:tcPr>
            <w:tcW w:w="7994" w:type="dxa"/>
            <w:vAlign w:val="center"/>
          </w:tcPr>
          <w:p w14:paraId="630543C8" w14:textId="16380CC4" w:rsidR="00907F74" w:rsidRDefault="00907F74" w:rsidP="00044022">
            <w:pPr>
              <w:rPr>
                <w:rFonts w:hint="eastAsia"/>
              </w:rPr>
            </w:pPr>
            <w:r w:rsidRPr="00907F74">
              <w:rPr>
                <w:rFonts w:hint="eastAsia"/>
              </w:rPr>
              <w:t>火薬類、揮発油、その他引火性液体など安全な車両運行に支障のあるものを持ち込ませないこと。</w:t>
            </w:r>
          </w:p>
        </w:tc>
      </w:tr>
      <w:tr w:rsidR="00907F74" w14:paraId="5EB02E2D" w14:textId="77777777" w:rsidTr="00044022">
        <w:trPr>
          <w:trHeight w:val="720"/>
        </w:trPr>
        <w:tc>
          <w:tcPr>
            <w:tcW w:w="501" w:type="dxa"/>
            <w:vAlign w:val="center"/>
          </w:tcPr>
          <w:p w14:paraId="779A4EF4" w14:textId="430AD531" w:rsidR="00907F74" w:rsidRDefault="00907F74" w:rsidP="00907F74">
            <w:pPr>
              <w:jc w:val="right"/>
              <w:rPr>
                <w:rFonts w:hint="eastAsia"/>
              </w:rPr>
            </w:pPr>
            <w:r>
              <w:rPr>
                <w:rFonts w:hint="eastAsia"/>
              </w:rPr>
              <w:t>4.</w:t>
            </w:r>
          </w:p>
        </w:tc>
        <w:tc>
          <w:tcPr>
            <w:tcW w:w="7994" w:type="dxa"/>
            <w:vAlign w:val="center"/>
          </w:tcPr>
          <w:p w14:paraId="75D3F022" w14:textId="356C5DAC" w:rsidR="00907F74" w:rsidRDefault="00907F74" w:rsidP="00044022">
            <w:pPr>
              <w:rPr>
                <w:rFonts w:hint="eastAsia"/>
              </w:rPr>
            </w:pPr>
            <w:r w:rsidRPr="00907F74">
              <w:rPr>
                <w:rFonts w:hint="eastAsia"/>
              </w:rPr>
              <w:t>車両内では禁煙を厳守すること。</w:t>
            </w:r>
          </w:p>
        </w:tc>
      </w:tr>
      <w:tr w:rsidR="00907F74" w14:paraId="42AFB8E4" w14:textId="77777777" w:rsidTr="00044022">
        <w:trPr>
          <w:trHeight w:val="720"/>
        </w:trPr>
        <w:tc>
          <w:tcPr>
            <w:tcW w:w="501" w:type="dxa"/>
            <w:vAlign w:val="center"/>
          </w:tcPr>
          <w:p w14:paraId="27E86EDB" w14:textId="1ED83922" w:rsidR="00907F74" w:rsidRDefault="00907F74" w:rsidP="00907F74">
            <w:pPr>
              <w:jc w:val="right"/>
              <w:rPr>
                <w:rFonts w:hint="eastAsia"/>
              </w:rPr>
            </w:pPr>
            <w:r>
              <w:rPr>
                <w:rFonts w:hint="eastAsia"/>
              </w:rPr>
              <w:t>5.</w:t>
            </w:r>
          </w:p>
        </w:tc>
        <w:tc>
          <w:tcPr>
            <w:tcW w:w="7994" w:type="dxa"/>
            <w:vAlign w:val="center"/>
          </w:tcPr>
          <w:p w14:paraId="1AF1A0BA" w14:textId="39CA5F91" w:rsidR="00907F74" w:rsidRDefault="00907F74" w:rsidP="00044022">
            <w:pPr>
              <w:rPr>
                <w:rFonts w:hint="eastAsia"/>
              </w:rPr>
            </w:pPr>
            <w:r w:rsidRPr="00907F74">
              <w:rPr>
                <w:rFonts w:hint="eastAsia"/>
              </w:rPr>
              <w:t>休憩・休息時間を除き、職務中にスマートフォン・携帯電話・ゲーム機等を業務目的以外で使用しないこと。</w:t>
            </w:r>
          </w:p>
        </w:tc>
      </w:tr>
      <w:tr w:rsidR="00907F74" w14:paraId="0BA18AA7" w14:textId="77777777" w:rsidTr="00044022">
        <w:trPr>
          <w:trHeight w:val="720"/>
        </w:trPr>
        <w:tc>
          <w:tcPr>
            <w:tcW w:w="501" w:type="dxa"/>
            <w:vAlign w:val="center"/>
          </w:tcPr>
          <w:p w14:paraId="6A54DAF1" w14:textId="5D9284E0" w:rsidR="00907F74" w:rsidRDefault="00907F74" w:rsidP="00907F74">
            <w:pPr>
              <w:jc w:val="right"/>
              <w:rPr>
                <w:rFonts w:hint="eastAsia"/>
              </w:rPr>
            </w:pPr>
            <w:r>
              <w:rPr>
                <w:rFonts w:hint="eastAsia"/>
              </w:rPr>
              <w:t>6.</w:t>
            </w:r>
          </w:p>
        </w:tc>
        <w:tc>
          <w:tcPr>
            <w:tcW w:w="7994" w:type="dxa"/>
            <w:vAlign w:val="center"/>
          </w:tcPr>
          <w:p w14:paraId="546040C4" w14:textId="5739869D" w:rsidR="00907F74" w:rsidRDefault="00907F74" w:rsidP="00044022">
            <w:pPr>
              <w:rPr>
                <w:rFonts w:hint="eastAsia"/>
              </w:rPr>
            </w:pPr>
            <w:r w:rsidRPr="00907F74">
              <w:rPr>
                <w:rFonts w:hint="eastAsia"/>
              </w:rPr>
              <w:t>運行車両については、車内の整理整頓、適切な清掃が実施され、運行車両の清潔が保たれていなければならないこと。</w:t>
            </w:r>
          </w:p>
        </w:tc>
      </w:tr>
      <w:tr w:rsidR="00907F74" w14:paraId="0603D078" w14:textId="77777777" w:rsidTr="00044022">
        <w:trPr>
          <w:trHeight w:val="720"/>
        </w:trPr>
        <w:tc>
          <w:tcPr>
            <w:tcW w:w="501" w:type="dxa"/>
            <w:vAlign w:val="center"/>
          </w:tcPr>
          <w:p w14:paraId="4F50EE47" w14:textId="7519D9C6" w:rsidR="00907F74" w:rsidRDefault="00907F74" w:rsidP="00907F74">
            <w:pPr>
              <w:jc w:val="right"/>
              <w:rPr>
                <w:rFonts w:hint="eastAsia"/>
              </w:rPr>
            </w:pPr>
            <w:r>
              <w:rPr>
                <w:rFonts w:hint="eastAsia"/>
              </w:rPr>
              <w:t>7.</w:t>
            </w:r>
          </w:p>
        </w:tc>
        <w:tc>
          <w:tcPr>
            <w:tcW w:w="7994" w:type="dxa"/>
            <w:vAlign w:val="center"/>
          </w:tcPr>
          <w:p w14:paraId="6ED1E9D0" w14:textId="0C24FCA4" w:rsidR="00907F74" w:rsidRDefault="00044022" w:rsidP="00044022">
            <w:pPr>
              <w:rPr>
                <w:rFonts w:hint="eastAsia"/>
              </w:rPr>
            </w:pPr>
            <w:r w:rsidRPr="00044022">
              <w:rPr>
                <w:rFonts w:hint="eastAsia"/>
              </w:rPr>
              <w:t>車両の運行中に当該車両の重大な故障を発見し、又は重大な事故が発生するおそれがあると認めたときは、直ちに運行を中止すること。</w:t>
            </w:r>
          </w:p>
        </w:tc>
      </w:tr>
      <w:tr w:rsidR="00907F74" w14:paraId="11FA9883" w14:textId="77777777" w:rsidTr="00044022">
        <w:trPr>
          <w:trHeight w:val="720"/>
        </w:trPr>
        <w:tc>
          <w:tcPr>
            <w:tcW w:w="501" w:type="dxa"/>
            <w:vAlign w:val="center"/>
          </w:tcPr>
          <w:p w14:paraId="5B614177" w14:textId="07B6E5F2" w:rsidR="00907F74" w:rsidRDefault="00907F74" w:rsidP="00907F74">
            <w:pPr>
              <w:jc w:val="right"/>
              <w:rPr>
                <w:rFonts w:hint="eastAsia"/>
              </w:rPr>
            </w:pPr>
            <w:r>
              <w:rPr>
                <w:rFonts w:hint="eastAsia"/>
              </w:rPr>
              <w:t>8.</w:t>
            </w:r>
          </w:p>
        </w:tc>
        <w:tc>
          <w:tcPr>
            <w:tcW w:w="7994" w:type="dxa"/>
            <w:vAlign w:val="center"/>
          </w:tcPr>
          <w:p w14:paraId="3D196313" w14:textId="7E1FE50A" w:rsidR="00907F74" w:rsidRDefault="00044022" w:rsidP="00044022">
            <w:pPr>
              <w:rPr>
                <w:rFonts w:hint="eastAsia"/>
              </w:rPr>
            </w:pPr>
            <w:r w:rsidRPr="00044022">
              <w:rPr>
                <w:rFonts w:hint="eastAsia"/>
              </w:rPr>
              <w:t>決められたルートを走行し、安全な運行に支障がある箇所を通過しないこと。</w:t>
            </w:r>
          </w:p>
        </w:tc>
      </w:tr>
      <w:tr w:rsidR="00907F74" w14:paraId="1CF6B1E7" w14:textId="77777777" w:rsidTr="00044022">
        <w:trPr>
          <w:trHeight w:val="720"/>
        </w:trPr>
        <w:tc>
          <w:tcPr>
            <w:tcW w:w="501" w:type="dxa"/>
            <w:vAlign w:val="center"/>
          </w:tcPr>
          <w:p w14:paraId="287BED77" w14:textId="10B8F35F" w:rsidR="00907F74" w:rsidRDefault="00907F74" w:rsidP="00907F74">
            <w:pPr>
              <w:jc w:val="right"/>
              <w:rPr>
                <w:rFonts w:hint="eastAsia"/>
              </w:rPr>
            </w:pPr>
            <w:r>
              <w:rPr>
                <w:rFonts w:hint="eastAsia"/>
              </w:rPr>
              <w:t>9.</w:t>
            </w:r>
          </w:p>
        </w:tc>
        <w:tc>
          <w:tcPr>
            <w:tcW w:w="7994" w:type="dxa"/>
            <w:vAlign w:val="center"/>
          </w:tcPr>
          <w:p w14:paraId="3551C4C6" w14:textId="07BF1696" w:rsidR="00907F74" w:rsidRDefault="00044022" w:rsidP="00044022">
            <w:pPr>
              <w:rPr>
                <w:rFonts w:hint="eastAsia"/>
              </w:rPr>
            </w:pPr>
            <w:r w:rsidRPr="00044022">
              <w:rPr>
                <w:rFonts w:hint="eastAsia"/>
              </w:rPr>
              <w:t>乗降口の扉を閉じ、利用者の安全を確認した後でなければ発車してはならない。</w:t>
            </w:r>
          </w:p>
        </w:tc>
      </w:tr>
      <w:bookmarkEnd w:id="0"/>
      <w:tr w:rsidR="00907F74" w14:paraId="4390CAEB" w14:textId="77777777" w:rsidTr="00044022">
        <w:trPr>
          <w:trHeight w:val="720"/>
        </w:trPr>
        <w:tc>
          <w:tcPr>
            <w:tcW w:w="501" w:type="dxa"/>
            <w:vAlign w:val="center"/>
          </w:tcPr>
          <w:p w14:paraId="79CA1A1E" w14:textId="04F84164" w:rsidR="00907F74" w:rsidRDefault="00907F74" w:rsidP="00907F74">
            <w:pPr>
              <w:jc w:val="right"/>
              <w:rPr>
                <w:rFonts w:hint="eastAsia"/>
              </w:rPr>
            </w:pPr>
            <w:r>
              <w:rPr>
                <w:rFonts w:hint="eastAsia"/>
              </w:rPr>
              <w:t>10.</w:t>
            </w:r>
          </w:p>
        </w:tc>
        <w:tc>
          <w:tcPr>
            <w:tcW w:w="7994" w:type="dxa"/>
            <w:vAlign w:val="center"/>
          </w:tcPr>
          <w:p w14:paraId="5958ED34" w14:textId="4302AD50" w:rsidR="00907F74" w:rsidRDefault="00044022" w:rsidP="00044022">
            <w:pPr>
              <w:rPr>
                <w:rFonts w:hint="eastAsia"/>
              </w:rPr>
            </w:pPr>
            <w:r w:rsidRPr="00044022">
              <w:rPr>
                <w:rFonts w:hint="eastAsia"/>
              </w:rPr>
              <w:t>乗降口の扉は、停車前に開かないこと。</w:t>
            </w:r>
          </w:p>
        </w:tc>
      </w:tr>
      <w:tr w:rsidR="00907F74" w14:paraId="25D32BF1" w14:textId="77777777" w:rsidTr="00044022">
        <w:trPr>
          <w:trHeight w:val="720"/>
        </w:trPr>
        <w:tc>
          <w:tcPr>
            <w:tcW w:w="501" w:type="dxa"/>
            <w:vAlign w:val="center"/>
          </w:tcPr>
          <w:p w14:paraId="24C569D9" w14:textId="36F287D8" w:rsidR="00907F74" w:rsidRDefault="00907F74" w:rsidP="00907F74">
            <w:pPr>
              <w:jc w:val="right"/>
              <w:rPr>
                <w:rFonts w:hint="eastAsia"/>
              </w:rPr>
            </w:pPr>
            <w:r>
              <w:rPr>
                <w:rFonts w:hint="eastAsia"/>
              </w:rPr>
              <w:t>11.</w:t>
            </w:r>
          </w:p>
        </w:tc>
        <w:tc>
          <w:tcPr>
            <w:tcW w:w="7994" w:type="dxa"/>
            <w:vAlign w:val="center"/>
          </w:tcPr>
          <w:p w14:paraId="447A6074" w14:textId="0CAF4128" w:rsidR="00907F74" w:rsidRDefault="00044022" w:rsidP="00044022">
            <w:pPr>
              <w:rPr>
                <w:rFonts w:hint="eastAsia"/>
              </w:rPr>
            </w:pPr>
            <w:r w:rsidRPr="00044022">
              <w:rPr>
                <w:rFonts w:hint="eastAsia"/>
              </w:rPr>
              <w:t>乗務についての所要の記録を行うこと。</w:t>
            </w:r>
          </w:p>
        </w:tc>
      </w:tr>
      <w:tr w:rsidR="00907F74" w14:paraId="13889AB2" w14:textId="77777777" w:rsidTr="00044022">
        <w:trPr>
          <w:trHeight w:val="720"/>
        </w:trPr>
        <w:tc>
          <w:tcPr>
            <w:tcW w:w="501" w:type="dxa"/>
            <w:vAlign w:val="center"/>
          </w:tcPr>
          <w:p w14:paraId="3149824F" w14:textId="4910FFF0" w:rsidR="00907F74" w:rsidRDefault="00907F74" w:rsidP="00907F74">
            <w:pPr>
              <w:jc w:val="right"/>
              <w:rPr>
                <w:rFonts w:hint="eastAsia"/>
              </w:rPr>
            </w:pPr>
            <w:r>
              <w:rPr>
                <w:rFonts w:hint="eastAsia"/>
              </w:rPr>
              <w:t>12.</w:t>
            </w:r>
          </w:p>
        </w:tc>
        <w:tc>
          <w:tcPr>
            <w:tcW w:w="7994" w:type="dxa"/>
            <w:vAlign w:val="center"/>
          </w:tcPr>
          <w:p w14:paraId="6C18EEA8" w14:textId="6AE5D143" w:rsidR="00907F74" w:rsidRDefault="00044022" w:rsidP="00044022">
            <w:pPr>
              <w:rPr>
                <w:rFonts w:hint="eastAsia"/>
              </w:rPr>
            </w:pPr>
            <w:r w:rsidRPr="00044022">
              <w:rPr>
                <w:rFonts w:hint="eastAsia"/>
              </w:rPr>
              <w:t>不快感を与える服装をしないこと。</w:t>
            </w:r>
          </w:p>
        </w:tc>
      </w:tr>
      <w:tr w:rsidR="00907F74" w14:paraId="481DFE8C" w14:textId="77777777" w:rsidTr="00044022">
        <w:trPr>
          <w:trHeight w:val="720"/>
        </w:trPr>
        <w:tc>
          <w:tcPr>
            <w:tcW w:w="501" w:type="dxa"/>
            <w:vAlign w:val="center"/>
          </w:tcPr>
          <w:p w14:paraId="7AA35549" w14:textId="5B2A6F91" w:rsidR="00907F74" w:rsidRDefault="00907F74" w:rsidP="00907F74">
            <w:pPr>
              <w:jc w:val="right"/>
              <w:rPr>
                <w:rFonts w:hint="eastAsia"/>
              </w:rPr>
            </w:pPr>
            <w:r>
              <w:rPr>
                <w:rFonts w:hint="eastAsia"/>
              </w:rPr>
              <w:t>13.</w:t>
            </w:r>
          </w:p>
        </w:tc>
        <w:tc>
          <w:tcPr>
            <w:tcW w:w="7994" w:type="dxa"/>
            <w:vAlign w:val="center"/>
          </w:tcPr>
          <w:p w14:paraId="670BBB51" w14:textId="207E6DDD" w:rsidR="00907F74" w:rsidRDefault="00044022" w:rsidP="00044022">
            <w:pPr>
              <w:rPr>
                <w:rFonts w:hint="eastAsia"/>
              </w:rPr>
            </w:pPr>
            <w:r w:rsidRPr="00044022">
              <w:rPr>
                <w:rFonts w:hint="eastAsia"/>
              </w:rPr>
              <w:t>利用者等に対して公平かつ親切丁寧な対応を行うこと。また、必要に応じて乗降者の介助等を行い、誠実に職務を遂行すること。</w:t>
            </w:r>
          </w:p>
        </w:tc>
      </w:tr>
      <w:tr w:rsidR="00907F74" w14:paraId="30206A68" w14:textId="77777777" w:rsidTr="00044022">
        <w:trPr>
          <w:trHeight w:val="720"/>
        </w:trPr>
        <w:tc>
          <w:tcPr>
            <w:tcW w:w="501" w:type="dxa"/>
            <w:vAlign w:val="center"/>
          </w:tcPr>
          <w:p w14:paraId="41BB1ED2" w14:textId="67EF3167" w:rsidR="00907F74" w:rsidRDefault="00907F74" w:rsidP="00907F74">
            <w:pPr>
              <w:jc w:val="right"/>
              <w:rPr>
                <w:rFonts w:hint="eastAsia"/>
              </w:rPr>
            </w:pPr>
            <w:r>
              <w:rPr>
                <w:rFonts w:hint="eastAsia"/>
              </w:rPr>
              <w:t>14.</w:t>
            </w:r>
          </w:p>
        </w:tc>
        <w:tc>
          <w:tcPr>
            <w:tcW w:w="7994" w:type="dxa"/>
            <w:vAlign w:val="center"/>
          </w:tcPr>
          <w:p w14:paraId="429A2F96" w14:textId="3A8E55B8" w:rsidR="00907F74" w:rsidRDefault="00044022" w:rsidP="00044022">
            <w:pPr>
              <w:rPr>
                <w:rFonts w:hint="eastAsia"/>
              </w:rPr>
            </w:pPr>
            <w:r w:rsidRPr="00044022">
              <w:rPr>
                <w:rFonts w:hint="eastAsia"/>
              </w:rPr>
              <w:t>利用者等に対して走行中職務上不必要な事柄について話をしないこと。</w:t>
            </w:r>
          </w:p>
        </w:tc>
      </w:tr>
      <w:tr w:rsidR="00907F74" w14:paraId="45D18093" w14:textId="77777777" w:rsidTr="00044022">
        <w:trPr>
          <w:trHeight w:val="720"/>
        </w:trPr>
        <w:tc>
          <w:tcPr>
            <w:tcW w:w="501" w:type="dxa"/>
            <w:vAlign w:val="center"/>
          </w:tcPr>
          <w:p w14:paraId="669ED43F" w14:textId="2BE37D1E" w:rsidR="00907F74" w:rsidRDefault="00907F74" w:rsidP="00907F74">
            <w:pPr>
              <w:jc w:val="right"/>
              <w:rPr>
                <w:rFonts w:hint="eastAsia"/>
              </w:rPr>
            </w:pPr>
            <w:r>
              <w:rPr>
                <w:rFonts w:hint="eastAsia"/>
              </w:rPr>
              <w:t>15.</w:t>
            </w:r>
          </w:p>
        </w:tc>
        <w:tc>
          <w:tcPr>
            <w:tcW w:w="7994" w:type="dxa"/>
            <w:vAlign w:val="center"/>
          </w:tcPr>
          <w:p w14:paraId="76416520" w14:textId="6F6108A7" w:rsidR="00907F74" w:rsidRDefault="00044022" w:rsidP="00044022">
            <w:pPr>
              <w:rPr>
                <w:rFonts w:hint="eastAsia"/>
              </w:rPr>
            </w:pPr>
            <w:r w:rsidRPr="00044022">
              <w:rPr>
                <w:rFonts w:hint="eastAsia"/>
              </w:rPr>
              <w:t>職務上知り得た秘密を他者に漏らさないこと。（契約終了後も同様とする）</w:t>
            </w:r>
          </w:p>
        </w:tc>
      </w:tr>
      <w:tr w:rsidR="00907F74" w14:paraId="42B45FC5" w14:textId="77777777" w:rsidTr="00044022">
        <w:trPr>
          <w:trHeight w:val="720"/>
        </w:trPr>
        <w:tc>
          <w:tcPr>
            <w:tcW w:w="501" w:type="dxa"/>
            <w:vAlign w:val="center"/>
          </w:tcPr>
          <w:p w14:paraId="113E5C4D" w14:textId="0B410E22" w:rsidR="00907F74" w:rsidRDefault="00907F74" w:rsidP="00907F74">
            <w:pPr>
              <w:jc w:val="right"/>
              <w:rPr>
                <w:rFonts w:hint="eastAsia"/>
              </w:rPr>
            </w:pPr>
            <w:r>
              <w:rPr>
                <w:rFonts w:hint="eastAsia"/>
              </w:rPr>
              <w:t>16.</w:t>
            </w:r>
          </w:p>
        </w:tc>
        <w:tc>
          <w:tcPr>
            <w:tcW w:w="7994" w:type="dxa"/>
            <w:vAlign w:val="center"/>
          </w:tcPr>
          <w:p w14:paraId="2067A1BC" w14:textId="74F51AAA" w:rsidR="00907F74" w:rsidRDefault="00044022" w:rsidP="00044022">
            <w:pPr>
              <w:rPr>
                <w:rFonts w:hint="eastAsia"/>
              </w:rPr>
            </w:pPr>
            <w:r w:rsidRPr="00044022">
              <w:rPr>
                <w:rFonts w:hint="eastAsia"/>
              </w:rPr>
              <w:t>利用者等の安全に配慮した慎重かつ適切な運転を行うこと。</w:t>
            </w:r>
          </w:p>
        </w:tc>
      </w:tr>
      <w:tr w:rsidR="00907F74" w14:paraId="4F4C4394" w14:textId="77777777" w:rsidTr="00044022">
        <w:trPr>
          <w:trHeight w:val="720"/>
        </w:trPr>
        <w:tc>
          <w:tcPr>
            <w:tcW w:w="501" w:type="dxa"/>
            <w:vAlign w:val="center"/>
          </w:tcPr>
          <w:p w14:paraId="1CCAE46E" w14:textId="2A3CA9A7" w:rsidR="00907F74" w:rsidRDefault="00907F74" w:rsidP="00907F74">
            <w:pPr>
              <w:jc w:val="right"/>
              <w:rPr>
                <w:rFonts w:hint="eastAsia"/>
              </w:rPr>
            </w:pPr>
            <w:r>
              <w:rPr>
                <w:rFonts w:hint="eastAsia"/>
              </w:rPr>
              <w:t>17.</w:t>
            </w:r>
          </w:p>
        </w:tc>
        <w:tc>
          <w:tcPr>
            <w:tcW w:w="7994" w:type="dxa"/>
            <w:vAlign w:val="center"/>
          </w:tcPr>
          <w:p w14:paraId="2EAA1DF6" w14:textId="45479C6B" w:rsidR="00907F74" w:rsidRDefault="00044022" w:rsidP="00044022">
            <w:pPr>
              <w:rPr>
                <w:rFonts w:hint="eastAsia"/>
              </w:rPr>
            </w:pPr>
            <w:r w:rsidRPr="00044022">
              <w:rPr>
                <w:rFonts w:hint="eastAsia"/>
              </w:rPr>
              <w:t>その他、委託者の指示に従うこと。</w:t>
            </w:r>
          </w:p>
        </w:tc>
      </w:tr>
    </w:tbl>
    <w:p w14:paraId="7384E850" w14:textId="77777777" w:rsidR="00A058F8" w:rsidRDefault="00A058F8">
      <w:pPr>
        <w:rPr>
          <w:rFonts w:hint="eastAsia"/>
        </w:rPr>
      </w:pPr>
    </w:p>
    <w:sectPr w:rsidR="00A058F8" w:rsidSect="00044022">
      <w:pgSz w:w="11907" w:h="16840" w:code="9"/>
      <w:pgMar w:top="1701" w:right="1701" w:bottom="1418" w:left="1701" w:header="851" w:footer="992" w:gutter="0"/>
      <w:paperSrc w:first="7" w:other="7"/>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F940DF"/>
    <w:multiLevelType w:val="hybridMultilevel"/>
    <w:tmpl w:val="A0E4F610"/>
    <w:lvl w:ilvl="0" w:tplc="0E5C3F4C">
      <w:start w:val="15"/>
      <w:numFmt w:val="decimalFullWidth"/>
      <w:lvlText w:val="%1．"/>
      <w:lvlJc w:val="left"/>
      <w:pPr>
        <w:ind w:left="438" w:hanging="43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D55272C"/>
    <w:multiLevelType w:val="hybridMultilevel"/>
    <w:tmpl w:val="428A1FDC"/>
    <w:lvl w:ilvl="0" w:tplc="50AEB222">
      <w:start w:val="15"/>
      <w:numFmt w:val="decimalFullWidth"/>
      <w:lvlText w:val="%1．"/>
      <w:lvlJc w:val="left"/>
      <w:pPr>
        <w:ind w:left="438" w:hanging="43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23C4546"/>
    <w:multiLevelType w:val="hybridMultilevel"/>
    <w:tmpl w:val="8E26DF98"/>
    <w:lvl w:ilvl="0" w:tplc="80023C74">
      <w:start w:val="12"/>
      <w:numFmt w:val="decimalFullWidth"/>
      <w:lvlText w:val="%1．"/>
      <w:lvlJc w:val="left"/>
      <w:pPr>
        <w:ind w:left="438" w:hanging="43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552D5CE8"/>
    <w:multiLevelType w:val="hybridMultilevel"/>
    <w:tmpl w:val="F90CEDFA"/>
    <w:lvl w:ilvl="0" w:tplc="97704BF8">
      <w:start w:val="15"/>
      <w:numFmt w:val="decimalFullWidth"/>
      <w:lvlText w:val="%1．"/>
      <w:lvlJc w:val="left"/>
      <w:pPr>
        <w:ind w:left="438" w:hanging="43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7290D65"/>
    <w:multiLevelType w:val="hybridMultilevel"/>
    <w:tmpl w:val="B55071E2"/>
    <w:lvl w:ilvl="0" w:tplc="E0ACC4D4">
      <w:start w:val="14"/>
      <w:numFmt w:val="decimalFullWidth"/>
      <w:lvlText w:val="%1．"/>
      <w:lvlJc w:val="left"/>
      <w:pPr>
        <w:ind w:left="438" w:hanging="43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CED2822"/>
    <w:multiLevelType w:val="hybridMultilevel"/>
    <w:tmpl w:val="F628F528"/>
    <w:lvl w:ilvl="0" w:tplc="B98EF3A0">
      <w:start w:val="1"/>
      <w:numFmt w:val="decimalFullWidth"/>
      <w:lvlText w:val="%1．"/>
      <w:lvlJc w:val="left"/>
      <w:pPr>
        <w:ind w:left="426" w:hanging="426"/>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AD41A32"/>
    <w:multiLevelType w:val="hybridMultilevel"/>
    <w:tmpl w:val="3E406A66"/>
    <w:lvl w:ilvl="0" w:tplc="20B064B0">
      <w:start w:val="15"/>
      <w:numFmt w:val="decimalFullWidth"/>
      <w:lvlText w:val="%1．"/>
      <w:lvlJc w:val="left"/>
      <w:pPr>
        <w:ind w:left="438" w:hanging="43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02639594">
    <w:abstractNumId w:val="5"/>
  </w:num>
  <w:num w:numId="2" w16cid:durableId="1584988581">
    <w:abstractNumId w:val="2"/>
  </w:num>
  <w:num w:numId="3" w16cid:durableId="1634099382">
    <w:abstractNumId w:val="4"/>
  </w:num>
  <w:num w:numId="4" w16cid:durableId="927230716">
    <w:abstractNumId w:val="6"/>
  </w:num>
  <w:num w:numId="5" w16cid:durableId="418331278">
    <w:abstractNumId w:val="1"/>
  </w:num>
  <w:num w:numId="6" w16cid:durableId="246816170">
    <w:abstractNumId w:val="3"/>
  </w:num>
  <w:num w:numId="7" w16cid:durableId="2117864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13C"/>
    <w:rsid w:val="00044022"/>
    <w:rsid w:val="004032A4"/>
    <w:rsid w:val="00417369"/>
    <w:rsid w:val="00437AD8"/>
    <w:rsid w:val="00531A51"/>
    <w:rsid w:val="005D38BC"/>
    <w:rsid w:val="007D71CA"/>
    <w:rsid w:val="0087113C"/>
    <w:rsid w:val="00907F74"/>
    <w:rsid w:val="00A058F8"/>
    <w:rsid w:val="00F916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ECC929"/>
  <w15:chartTrackingRefBased/>
  <w15:docId w15:val="{7FC77C74-8D7A-45FC-B64A-8FD578B46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58F8"/>
    <w:pPr>
      <w:ind w:leftChars="400" w:left="840"/>
    </w:pPr>
  </w:style>
  <w:style w:type="table" w:styleId="a4">
    <w:name w:val="Table Grid"/>
    <w:basedOn w:val="a1"/>
    <w:uiPriority w:val="39"/>
    <w:rsid w:val="00907F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104</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企画運営係</dc:creator>
  <cp:keywords/>
  <dc:description/>
  <cp:lastModifiedBy>企画運営係</cp:lastModifiedBy>
  <cp:revision>2</cp:revision>
  <dcterms:created xsi:type="dcterms:W3CDTF">2025-08-18T04:59:00Z</dcterms:created>
  <dcterms:modified xsi:type="dcterms:W3CDTF">2025-08-18T06:01:00Z</dcterms:modified>
</cp:coreProperties>
</file>